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Glosario de conceptos de Nippon Kendo Kata</w:t>
      </w:r>
    </w:p>
    <w:p>
      <w:pPr>
        <w:pStyle w:val="Subtitle"/>
      </w:pPr>
      <w:r>
        <w:t>Traducción al español de las definiciones del video instructivo en inglés</w:t>
      </w:r>
    </w:p>
    <w:p>
      <w:r>
        <w:t>Material de consulta sobre el propósito, el trabajo en pareja, las guardias, el movimiento, las técnicas, la etiqueta y la terminología de la espada presentados en el video. Los términos japoneses mantienen una escritura estandarizada y se acompañan de definiciones claras en español.</w:t>
      </w:r>
    </w:p>
    <w:p>
      <w:r>
        <w:t xml:space="preserve">Video de referencia: </w:t>
      </w:r>
      <w:hyperlink r:id="rId11">
        <w:r>
          <w:rPr>
            <w:color w:val="164D80"/>
          </w:rPr>
          <w:t>Nippon Kendo Kata de la AJKF — versión en inglés</w:t>
        </w:r>
      </w:hyperlink>
    </w:p>
    <w:p>
      <w:r>
        <w:t>Nota sobre la fuente: Las definiciones se basan en los subtítulos automáticos en inglés recuperados y en las notas proporcionadas. Se han corregido los errores de transcripción evidentes. Se utilizan denominaciones en español cuando la narración describe un principio sin nombrarlo en japonés. Son definiciones para el estudio, no entradas textuales de un diccionario oficial.</w:t>
      </w:r>
    </w:p>
    <w:p>
      <w:pPr>
        <w:pStyle w:val="Heading1"/>
      </w:pPr>
      <w:r>
        <w:t>Propósito y trabajo en pareja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tblHeader/>
          <w:cantSplit/>
        </w:trPr>
        <w:tc>
          <w:tcPr>
            <w:tcW w:type="dxa" w:w="2952"/>
            <w:vAlign w:val="center"/>
            <w:tcMar>
              <w:top w:w="70" w:type="dxa"/>
              <w:bottom w:w="70" w:type="dxa"/>
              <w:left w:w="100" w:type="dxa"/>
              <w:right w:w="100" w:type="dxa"/>
            </w:tcMar>
            <w:shd w:fill="203B52"/>
          </w:tcPr>
          <w:p>
            <w:pPr>
              <w:keepNext/>
              <w:spacing w:after="0" w:line="247" w:lineRule="auto"/>
            </w:pPr>
            <w:r>
              <w:rPr>
                <w:b/>
                <w:color w:val="FFFFFF"/>
                <w:sz w:val="22"/>
              </w:rPr>
              <w:t>Concepto</w:t>
            </w:r>
          </w:p>
        </w:tc>
        <w:tc>
          <w:tcPr>
            <w:tcW w:type="dxa" w:w="7272"/>
            <w:vAlign w:val="center"/>
            <w:tcMar>
              <w:top w:w="70" w:type="dxa"/>
              <w:bottom w:w="70" w:type="dxa"/>
              <w:left w:w="100" w:type="dxa"/>
              <w:right w:w="100" w:type="dxa"/>
            </w:tcMar>
            <w:shd w:fill="203B52"/>
          </w:tcPr>
          <w:p>
            <w:pPr>
              <w:keepNext/>
              <w:spacing w:after="0" w:line="247" w:lineRule="auto"/>
            </w:pPr>
            <w:r>
              <w:rPr>
                <w:b/>
                <w:color w:val="FFFFFF"/>
                <w:sz w:val="22"/>
              </w:rPr>
              <w:t>Definición</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Nippon Kendo Kata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Sistema establecido de formas de espada practicadas en pareja para estudiar los principios de la espada, el ataque y la defensa, la etiqueta, la técnica y el desarrollo del carácter.</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Kata</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Encuentro estructurado con una secuencia establecida mediante la cual los practicantes aprenden las razones que sustentan los movimientos y las técnicas.</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Tachi no kata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Las siete formas en las que ambos practicantes utilizan una espada larga.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Kodachi no kata</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Las tres formas en las que shidachi utiliza una espada corta frente a la espada larga de uchidachi.</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Uchidachi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El papel de quien enseña, dirige el encuentro establecido e inicia los ataques con la oportunidad, la distancia y el control adecuados.</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Shidachi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El papel de quien aprende, aplica las respuestas establecidas y logra el desenlace exitoso del encuentro.</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Lógica del ataque y la defensa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Comprender por qué se produce un ataque, por qué funciona la respuesta y cómo cada acción crea las condiciones para la siguiente.</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Cooperación entre compañeros</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Trabajar juntos con funciones claras y una coordinación temporal que permita aprender los principios previstos en el encuentro.</w:t>
            </w:r>
          </w:p>
        </w:tc>
      </w:tr>
    </w:tbl>
    <w:p>
      <w:pPr>
        <w:spacing w:after="0"/>
      </w:pPr>
    </w:p>
    <w:p>
      <w:pPr>
        <w:pStyle w:val="Heading1"/>
      </w:pPr>
      <w:r>
        <w:t>Preparación iniciativa y atención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tblHeader/>
          <w:cantSplit/>
        </w:trPr>
        <w:tc>
          <w:tcPr>
            <w:tcW w:type="dxa" w:w="2952"/>
            <w:vAlign w:val="center"/>
            <w:tcMar>
              <w:top w:w="70" w:type="dxa"/>
              <w:bottom w:w="70" w:type="dxa"/>
              <w:left w:w="100" w:type="dxa"/>
              <w:right w:w="100" w:type="dxa"/>
            </w:tcMar>
            <w:shd w:fill="203B52"/>
          </w:tcPr>
          <w:p>
            <w:pPr>
              <w:keepNext/>
              <w:spacing w:after="0" w:line="247" w:lineRule="auto"/>
            </w:pPr>
            <w:r>
              <w:rPr>
                <w:b/>
                <w:color w:val="FFFFFF"/>
                <w:sz w:val="22"/>
              </w:rPr>
              <w:t>Concepto</w:t>
            </w:r>
          </w:p>
        </w:tc>
        <w:tc>
          <w:tcPr>
            <w:tcW w:type="dxa" w:w="7272"/>
            <w:vAlign w:val="center"/>
            <w:tcMar>
              <w:top w:w="70" w:type="dxa"/>
              <w:bottom w:w="70" w:type="dxa"/>
              <w:left w:w="100" w:type="dxa"/>
              <w:right w:w="100" w:type="dxa"/>
            </w:tcMar>
            <w:shd w:fill="203B52"/>
          </w:tcPr>
          <w:p>
            <w:pPr>
              <w:keepNext/>
              <w:spacing w:after="0" w:line="247" w:lineRule="auto"/>
            </w:pPr>
            <w:r>
              <w:rPr>
                <w:b/>
                <w:color w:val="FFFFFF"/>
                <w:sz w:val="22"/>
              </w:rPr>
              <w:t>Definición</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Kamae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Guardia que combina la posición del cuerpo y de la espada con la disposición mental.</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Ki-gamae</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Preparación mental y determinación para actuar. El video relaciona este concepto con la ejecución de un ataque convincente y decidido.</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Sen</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Iniciativa: tomar el control del encuentro a medida que se desarrolla mediante la intención, la elección del momento y la acción.</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Sen-sen-no-sen</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Reconocer el surgimiento del ataque del oponente y tomar inmediatamente la iniciativa. El video introduce este concepto en la primera forma de tachi.</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Go-no-sen</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Obtener la iniciativa mediante un contraataque en respuesta al ataque del oponente.</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Presión</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Efecto de la intención, la posición de la espada y el movimiento de un practicante sobre la capacidad o disposición del otro para actuar.</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Oportunidad de ataque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Momento en el que la relación entre ambos practicantes hace apropiado el ataque establecido.</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Irimi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Aplicar presión física y mental para entrar en la distancia del oponente. Es un concepto central en las formas de kodachi.</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Kuraizume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Avanzar con una presión dominante y control, sin ejecutar otra estocada real, especialmente en tachi 3.</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Zanshin</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Estado continuo de preparación mental y física después de la técnica decisiva. Puede incluir un movimiento establecido o expresarse sin movimiento corporal adicional.</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Presencia dominante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Fuerza serena y disposición que hacen evidente el control del encuentro. El video destaca este aspecto al explicar zanshin.</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Mantener el contacto visual</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Seguir observando al compañero durante los ataques, las evasiones, los giros y la recuperación, sin apartar la mirada ni perder la atención.</w:t>
            </w:r>
          </w:p>
        </w:tc>
      </w:tr>
    </w:tbl>
    <w:p>
      <w:pPr>
        <w:spacing w:after="0"/>
      </w:pPr>
    </w:p>
    <w:p>
      <w:pPr>
        <w:pStyle w:val="Heading1"/>
      </w:pPr>
      <w:r>
        <w:t>Distancia y movimiento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tblHeader/>
          <w:cantSplit/>
        </w:trPr>
        <w:tc>
          <w:tcPr>
            <w:tcW w:type="dxa" w:w="2952"/>
            <w:vAlign w:val="center"/>
            <w:tcMar>
              <w:top w:w="70" w:type="dxa"/>
              <w:bottom w:w="70" w:type="dxa"/>
              <w:left w:w="100" w:type="dxa"/>
              <w:right w:w="100" w:type="dxa"/>
            </w:tcMar>
            <w:shd w:fill="203B52"/>
          </w:tcPr>
          <w:p>
            <w:pPr>
              <w:keepNext/>
              <w:spacing w:after="0" w:line="247" w:lineRule="auto"/>
            </w:pPr>
            <w:r>
              <w:rPr>
                <w:b/>
                <w:color w:val="FFFFFF"/>
                <w:sz w:val="22"/>
              </w:rPr>
              <w:t>Concepto</w:t>
            </w:r>
          </w:p>
        </w:tc>
        <w:tc>
          <w:tcPr>
            <w:tcW w:type="dxa" w:w="7272"/>
            <w:vAlign w:val="center"/>
            <w:tcMar>
              <w:top w:w="70" w:type="dxa"/>
              <w:bottom w:w="70" w:type="dxa"/>
              <w:left w:w="100" w:type="dxa"/>
              <w:right w:w="100" w:type="dxa"/>
            </w:tcMar>
            <w:shd w:fill="203B52"/>
          </w:tcPr>
          <w:p>
            <w:pPr>
              <w:keepNext/>
              <w:spacing w:after="0" w:line="247" w:lineRule="auto"/>
            </w:pPr>
            <w:r>
              <w:rPr>
                <w:b/>
                <w:color w:val="FFFFFF"/>
                <w:sz w:val="22"/>
              </w:rPr>
              <w:t>Definición</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Ma-ai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Relación de distancia entre los practicantes que determina si una técnica puede funcionar y de qué manera.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Issoku-ittō-no-maai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Distancia funcional desde la cual un practicante puede golpear con un paso hacia delante o evadir un golpe con un paso hacia atrás.</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Tachiai no maai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Distancia inicial de pie que organiza el encuentro de kata; el video la describe como una separación de aproximadamente nueve pasos.</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Suri-ashi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Desplazamiento con los pies deslizándose que permite moverse con control y mantener la postura y la conexión con el compañero.</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Ayumi-ashi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Desplazamiento con pasos alternos, como al caminar. La narración lo identifica durante el regreso en tachi 7.</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Shizentai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Postura natural de pie. Migi e hidari indican las posiciones con el pie derecho o izquierdo adelantado, respectivamente.</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Hanmi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Postura oblicua del cuerpo. En las explicaciones de kodachi, el pie derecho está ligeramente adelantado y el hombro izquierdo se lleva hacia atrás.</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Línea central</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Referencia central del cuerpo que permite organizar la posición de las manos, la espada y la dirección de la acción.</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Movimiento corporal coordinado</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Mover los pies, el cuerpo y la espada de forma conjunta para mantener el equilibrio, la distancia y la dirección previstos en la técnica.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Acción continua</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Conectar la recepción o la evasión con la respuesta, sin una pausa innecesaria que interrumpa el intercambio.</w:t>
            </w:r>
          </w:p>
        </w:tc>
      </w:tr>
    </w:tbl>
    <w:p>
      <w:pPr>
        <w:spacing w:after="0"/>
      </w:pPr>
    </w:p>
    <w:p>
      <w:pPr>
        <w:pStyle w:val="Heading1"/>
      </w:pPr>
      <w:r>
        <w:t>Las guardias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tblHeader/>
          <w:cantSplit/>
        </w:trPr>
        <w:tc>
          <w:tcPr>
            <w:tcW w:type="dxa" w:w="2952"/>
            <w:vAlign w:val="center"/>
            <w:tcMar>
              <w:top w:w="70" w:type="dxa"/>
              <w:bottom w:w="70" w:type="dxa"/>
              <w:left w:w="100" w:type="dxa"/>
              <w:right w:w="100" w:type="dxa"/>
            </w:tcMar>
            <w:shd w:fill="203B52"/>
          </w:tcPr>
          <w:p>
            <w:pPr>
              <w:keepNext/>
              <w:spacing w:after="0" w:line="247" w:lineRule="auto"/>
            </w:pPr>
            <w:r>
              <w:rPr>
                <w:b/>
                <w:color w:val="FFFFFF"/>
                <w:sz w:val="22"/>
              </w:rPr>
              <w:t>Concepto</w:t>
            </w:r>
          </w:p>
        </w:tc>
        <w:tc>
          <w:tcPr>
            <w:tcW w:type="dxa" w:w="7272"/>
            <w:vAlign w:val="center"/>
            <w:tcMar>
              <w:top w:w="70" w:type="dxa"/>
              <w:bottom w:w="70" w:type="dxa"/>
              <w:left w:w="100" w:type="dxa"/>
              <w:right w:w="100" w:type="dxa"/>
            </w:tcMar>
            <w:shd w:fill="203B52"/>
          </w:tcPr>
          <w:p>
            <w:pPr>
              <w:keepNext/>
              <w:spacing w:after="0" w:line="247" w:lineRule="auto"/>
            </w:pPr>
            <w:r>
              <w:rPr>
                <w:b/>
                <w:color w:val="FFFFFF"/>
                <w:sz w:val="22"/>
              </w:rPr>
              <w:t>Definición</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Chūdan no kamae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Guardia media, identificada en el video como la postura fundamental del kendo.</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Jōdan no kamae</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Guardia alta con la espada levantada por encima de la cabeza.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Morote hidari jōdan</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Jōdan izquierdo a dos manos, con el pie izquierdo adelantado y las manos situadas por encima del lado izquierdo de la frente.</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Morote migi jōdan</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Jōdan derecho a dos manos, con el pie derecho adelantado y la espada elevada y alineada con el centro del cuerpo.</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Gedan no kamae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Guardia baja con la punta de la espada por debajo del nivel de las rodillas del oponente, manteniendo la disposición para actuar.</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Hassō no kamae</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Guardia con la espada junto a la cabeza y la tsuba cerca de la altura de la boca.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Waki-gamae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Guardia con la espada hacia atrás, al costado del cuerpo, que oculta la hoja de la vista frontal del oponente.</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Chūdan hanmi no kamae</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Guardia media de kodachi con el cuerpo en posición oblicua. La dirección de la punta varía según la guardia del oponente.</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Gedan hanmi no kamae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Guardia baja de kodachi con el cuerpo en posición oblicua y la punta descendida.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Kamae wo toku</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Deshacer la guardia bajando la espada de la manera establecida, sin dejar de prestar atención al compañero.</w:t>
            </w:r>
          </w:p>
        </w:tc>
      </w:tr>
    </w:tbl>
    <w:p>
      <w:pPr>
        <w:spacing w:after="0"/>
      </w:pPr>
    </w:p>
    <w:p>
      <w:pPr>
        <w:pStyle w:val="Heading1"/>
      </w:pPr>
      <w:r>
        <w:t>Ataques y técnicas de recepción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tblHeader/>
          <w:cantSplit/>
        </w:trPr>
        <w:tc>
          <w:tcPr>
            <w:tcW w:type="dxa" w:w="2952"/>
            <w:vAlign w:val="center"/>
            <w:tcMar>
              <w:top w:w="70" w:type="dxa"/>
              <w:bottom w:w="70" w:type="dxa"/>
              <w:left w:w="100" w:type="dxa"/>
              <w:right w:w="100" w:type="dxa"/>
            </w:tcMar>
            <w:shd w:fill="203B52"/>
          </w:tcPr>
          <w:p>
            <w:pPr>
              <w:keepNext/>
              <w:spacing w:after="0" w:line="247" w:lineRule="auto"/>
            </w:pPr>
            <w:r>
              <w:rPr>
                <w:b/>
                <w:color w:val="FFFFFF"/>
                <w:sz w:val="22"/>
              </w:rPr>
              <w:t>Concepto</w:t>
            </w:r>
          </w:p>
        </w:tc>
        <w:tc>
          <w:tcPr>
            <w:tcW w:type="dxa" w:w="7272"/>
            <w:vAlign w:val="center"/>
            <w:tcMar>
              <w:top w:w="70" w:type="dxa"/>
              <w:bottom w:w="70" w:type="dxa"/>
              <w:left w:w="100" w:type="dxa"/>
              <w:right w:w="100" w:type="dxa"/>
            </w:tcMar>
            <w:shd w:fill="203B52"/>
          </w:tcPr>
          <w:p>
            <w:pPr>
              <w:keepNext/>
              <w:spacing w:after="0" w:line="247" w:lineRule="auto"/>
            </w:pPr>
            <w:r>
              <w:rPr>
                <w:b/>
                <w:color w:val="FFFFFF"/>
                <w:sz w:val="22"/>
              </w:rPr>
              <w:t>Definición</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Shōmen</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Zona frontal o central de la cabeza que constituye el objetivo del golpe.</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Kote</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Zona de la muñeca o del antebrazo que constituye el objetivo del golpe; las formas descritas utilizan el kote derecho.</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Dō</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Zona del tronco que constituye el objetivo del golpe. En tachi 7, el contraataque se dirige al dō derecho del oponente.</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Tsuki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Estocada dirigida al objetivo especificado por la forma.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Suigetsu</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Región del plexo solar, identificada como el objetivo de la estocada de uchidachi en tachi 3.</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Evadir y contraatacar</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Retirar el objetivo de la trayectoria del ataque y aprovechar inmediatamente la oportunidad resultante para contraatacar.</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Recibir y responder con una estocada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Desviar la estocada entrante mediante el movimiento coordinado de la espada y el cuerpo, y responder con una estocada por la línea controlada.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Maki-kaeshi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Acción de recepción y giro que desvía la estocada y enlaza con el contraataque desde arriba en tachi 4.</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Suriage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Desvío ascendente y deslizante de la hoja atacante que crea la oportunidad para la siguiente acción.</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Hidari suriage</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Suriage realizado con el lado izquierdo de la hoja, tal como se explica en tachi 5.</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Harai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Acción de barrido sobre la espada del oponente. El video la presenta como un error cuando sustituye al suriage requerido.</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Ukenagashi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Recibir el corte entrante y dejarlo fluir hacia fuera mediante el movimiento coordinado de la hoja y el cuerpo, lo que permite contraatacar.</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Suriotoshi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Acción deslizante hacia abajo que se utiliza para controlar y desviar la espada larga en kodachi 3.</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Surinagashi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Desvío fluido y deslizante que cruza el cuerpo, explicado a la altura del estómago en kodachi 3.</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Surikomi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Deslizarse hasta establecer un control cercano de la espada del oponente mediante una acción de giro controlada en kodachi 3.</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Sujeción del brazo</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Controlar el brazo de uchidachi por encima del codo como parte de las posiciones finales establecidas en kodachi 2 y 3.</w:t>
            </w:r>
          </w:p>
        </w:tc>
      </w:tr>
    </w:tbl>
    <w:p>
      <w:pPr>
        <w:spacing w:after="0"/>
      </w:pPr>
    </w:p>
    <w:p>
      <w:pPr>
        <w:pStyle w:val="Heading1"/>
      </w:pPr>
      <w:r>
        <w:t>Etiqueta y posiciones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tblHeader/>
          <w:cantSplit/>
        </w:trPr>
        <w:tc>
          <w:tcPr>
            <w:tcW w:type="dxa" w:w="2952"/>
            <w:vAlign w:val="center"/>
            <w:tcMar>
              <w:top w:w="70" w:type="dxa"/>
              <w:bottom w:w="70" w:type="dxa"/>
              <w:left w:w="100" w:type="dxa"/>
              <w:right w:w="100" w:type="dxa"/>
            </w:tcMar>
            <w:shd w:fill="203B52"/>
          </w:tcPr>
          <w:p>
            <w:pPr>
              <w:keepNext/>
              <w:spacing w:after="0" w:line="247" w:lineRule="auto"/>
            </w:pPr>
            <w:r>
              <w:rPr>
                <w:b/>
                <w:color w:val="FFFFFF"/>
                <w:sz w:val="22"/>
              </w:rPr>
              <w:t>Concepto</w:t>
            </w:r>
          </w:p>
        </w:tc>
        <w:tc>
          <w:tcPr>
            <w:tcW w:type="dxa" w:w="7272"/>
            <w:vAlign w:val="center"/>
            <w:tcMar>
              <w:top w:w="70" w:type="dxa"/>
              <w:bottom w:w="70" w:type="dxa"/>
              <w:left w:w="100" w:type="dxa"/>
              <w:right w:w="100" w:type="dxa"/>
            </w:tcMar>
            <w:shd w:fill="203B52"/>
          </w:tcPr>
          <w:p>
            <w:pPr>
              <w:keepNext/>
              <w:spacing w:after="0" w:line="247" w:lineRule="auto"/>
            </w:pPr>
            <w:r>
              <w:rPr>
                <w:b/>
                <w:color w:val="FFFFFF"/>
                <w:sz w:val="22"/>
              </w:rPr>
              <w:t>Definición</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Rei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Reverencia que expresa respeto sincero. El video destaca su significado más allá de la forma externa.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Kamiza</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Lugar de honor hacia el cual los practicantes realizan la reverencia.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Shimoza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Zona de asientos de menor precedencia que sirve de referencia para organizar la etiqueta sentada y la colocación de las espadas.</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Zarei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Reverencia sentada que se realiza desde seiza.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Seiza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Posición formal de sentarse de rodillas, utilizada para la etiqueta sentada.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Sonkyo</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Posición en cuclillas utilizada al desenvainar, establecer la relación inicial entre las espadas y concluir una serie.</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Taitō</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Posición en la que la espada se sostiene o se lleva al lado izquierdo, en preparación para desenvainar.</w:t>
            </w:r>
          </w:p>
        </w:tc>
      </w:tr>
    </w:tbl>
    <w:p>
      <w:pPr>
        <w:spacing w:after="0"/>
      </w:pPr>
    </w:p>
    <w:p>
      <w:pPr>
        <w:pStyle w:val="Heading1"/>
      </w:pPr>
      <w:r>
        <w:t>Terminología de la espada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tblHeader/>
          <w:cantSplit/>
        </w:trPr>
        <w:tc>
          <w:tcPr>
            <w:tcW w:type="dxa" w:w="2952"/>
            <w:vAlign w:val="center"/>
            <w:tcMar>
              <w:top w:w="70" w:type="dxa"/>
              <w:bottom w:w="70" w:type="dxa"/>
              <w:left w:w="100" w:type="dxa"/>
              <w:right w:w="100" w:type="dxa"/>
            </w:tcMar>
            <w:shd w:fill="203B52"/>
          </w:tcPr>
          <w:p>
            <w:pPr>
              <w:keepNext/>
              <w:spacing w:after="0" w:line="247" w:lineRule="auto"/>
            </w:pPr>
            <w:r>
              <w:rPr>
                <w:b/>
                <w:color w:val="FFFFFF"/>
                <w:sz w:val="22"/>
              </w:rPr>
              <w:t>Concepto</w:t>
            </w:r>
          </w:p>
        </w:tc>
        <w:tc>
          <w:tcPr>
            <w:tcW w:type="dxa" w:w="7272"/>
            <w:vAlign w:val="center"/>
            <w:tcMar>
              <w:top w:w="70" w:type="dxa"/>
              <w:bottom w:w="70" w:type="dxa"/>
              <w:left w:w="100" w:type="dxa"/>
              <w:right w:w="100" w:type="dxa"/>
            </w:tcMar>
            <w:shd w:fill="203B52"/>
          </w:tcPr>
          <w:p>
            <w:pPr>
              <w:keepNext/>
              <w:spacing w:after="0" w:line="247" w:lineRule="auto"/>
            </w:pPr>
            <w:r>
              <w:rPr>
                <w:b/>
                <w:color w:val="FFFFFF"/>
                <w:sz w:val="22"/>
              </w:rPr>
              <w:t>Definición</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Katana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Espada japonesa cuyos principios y manejo se estudian mediante el kata.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Bokutō</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Espada de madera utilizada para la práctica.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Habiki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Espada con el filo embotado, utilizada en la demostración final del video.</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Tachi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Espada larga utilizada en el kata.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Kodachi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Espada corta utilizada por shidachi en las tres últimas formas.</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Tsuka</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Empuñadura de la espada.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Tsukagashira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Extremo de la empuñadura.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Tsuba</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Guarda situada entre la empuñadura y la hoja.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Kensen</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Punta de la espada, especialmente al hablar de su dirección y del control del encuentro.</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Kissaki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Sección de la punta de la hoja.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Monouchi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Zona de corte cercana a la punta, utilizada para realizar un corte eficaz desde la distancia correcta.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Shinogi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Arista longitudinal y superficie lateral adyacente de la hoja, utilizadas en las acciones de recepción y desvío.</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Jinbu</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Filo de la hoja.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Alineación de la hoja</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Orientar el filo y la trayectoria de la espada de acuerdo con la técnica prevista.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Yokote</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Línea que delimita la sección de la punta de la hoja; se utiliza como referencia al cruzar inicialmente las espadas.</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Habaki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Collar situado en la base de la hoja, mencionado como referencia en la posición de control cercano de las espadas en kodachi 3.</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Koiguchi</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Boca de la vaina.</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Kojiri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Extremo de la vaina.</w:t>
            </w:r>
          </w:p>
        </w:tc>
      </w:tr>
      <w:tr>
        <w:trPr>
          <w:cantSplit/>
        </w:trPr>
        <w:tc>
          <w:tcPr>
            <w:tcW w:type="dxa" w:w="2952"/>
            <w:vAlign w:val="center"/>
            <w:tcMar>
              <w:top w:w="70" w:type="dxa"/>
              <w:bottom w:w="70" w:type="dxa"/>
              <w:left w:w="100" w:type="dxa"/>
              <w:right w:w="100" w:type="dxa"/>
            </w:tcMar>
            <w:shd w:fill="FFFFFF"/>
          </w:tcPr>
          <w:p>
            <w:pPr>
              <w:spacing w:after="0" w:line="247" w:lineRule="auto"/>
            </w:pPr>
            <w:r>
              <w:rPr>
                <w:b/>
                <w:color w:val="000000"/>
                <w:sz w:val="22"/>
              </w:rPr>
              <w:t>Kurigata</w:t>
            </w:r>
          </w:p>
        </w:tc>
        <w:tc>
          <w:tcPr>
            <w:tcW w:type="dxa" w:w="7272"/>
            <w:vAlign w:val="center"/>
            <w:tcMar>
              <w:top w:w="70" w:type="dxa"/>
              <w:bottom w:w="70" w:type="dxa"/>
              <w:left w:w="100" w:type="dxa"/>
              <w:right w:w="100" w:type="dxa"/>
            </w:tcMar>
            <w:shd w:fill="FFFFFF"/>
          </w:tcPr>
          <w:p>
            <w:pPr>
              <w:spacing w:after="0" w:line="247" w:lineRule="auto"/>
            </w:pPr>
            <w:r>
              <w:rPr>
                <w:b w:val="0"/>
                <w:color w:val="000000"/>
                <w:sz w:val="22"/>
              </w:rPr>
              <w:t>Pieza de la vaina que sirve de referencia para colocar la mano libre cuando se utiliza un habiki en kodachi.</w:t>
            </w:r>
          </w:p>
        </w:tc>
      </w:tr>
      <w:tr>
        <w:trPr>
          <w:cantSplit/>
        </w:trPr>
        <w:tc>
          <w:tcPr>
            <w:tcW w:type="dxa" w:w="2952"/>
            <w:vAlign w:val="center"/>
            <w:tcMar>
              <w:top w:w="70" w:type="dxa"/>
              <w:bottom w:w="70" w:type="dxa"/>
              <w:left w:w="100" w:type="dxa"/>
              <w:right w:w="100" w:type="dxa"/>
            </w:tcMar>
            <w:shd w:fill="F2F5F8"/>
          </w:tcPr>
          <w:p>
            <w:pPr>
              <w:spacing w:after="0" w:line="247" w:lineRule="auto"/>
            </w:pPr>
            <w:r>
              <w:rPr>
                <w:b/>
                <w:color w:val="000000"/>
                <w:sz w:val="22"/>
              </w:rPr>
              <w:t>Obi</w:t>
            </w:r>
          </w:p>
        </w:tc>
        <w:tc>
          <w:tcPr>
            <w:tcW w:type="dxa" w:w="7272"/>
            <w:vAlign w:val="center"/>
            <w:tcMar>
              <w:top w:w="70" w:type="dxa"/>
              <w:bottom w:w="70" w:type="dxa"/>
              <w:left w:w="100" w:type="dxa"/>
              <w:right w:w="100" w:type="dxa"/>
            </w:tcMar>
            <w:shd w:fill="F2F5F8"/>
          </w:tcPr>
          <w:p>
            <w:pPr>
              <w:spacing w:after="0" w:line="247" w:lineRule="auto"/>
            </w:pPr>
            <w:r>
              <w:rPr>
                <w:b w:val="0"/>
                <w:color w:val="000000"/>
                <w:sz w:val="22"/>
              </w:rPr>
              <w:t>Cinturón en el que se coloca la espada envainada.</w:t>
            </w:r>
          </w:p>
        </w:tc>
      </w:tr>
    </w:tbl>
    <w:p>
      <w:pPr>
        <w:spacing w:after="0"/>
      </w:pPr>
    </w:p>
    <w:p>
      <w:pPr>
        <w:pStyle w:val="Heading1"/>
      </w:pPr>
      <w:r>
        <w:t>Nota sobre la terminología de la iniciativa</w:t>
      </w:r>
    </w:p>
    <w:p>
      <w:r>
        <w:t>La transcripción automática distorsiona varias denominaciones de la iniciativa. Por ello, este glosario no utiliza esos subtítulos como una clasificación fiable de sen para cada forma. Consulte el manual oficial y las indicaciones de su instructor para verificar las interpretaciones técnicas precisas.</w:t>
      </w:r>
    </w:p>
    <w:sectPr w:rsidR="00FC693F" w:rsidRPr="0006063C" w:rsidSect="00034616">
      <w:headerReference w:type="default" r:id="rId9"/>
      <w:footerReference w:type="default" r:id="rId10"/>
      <w:pgSz w:w="12240" w:h="15840"/>
      <w:pgMar w:top="936" w:right="1008" w:bottom="936"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NIPPON KENDO KATA  •  GLOSARIO DE CONCEPTOS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youtube.com/watch?v=QIpPUdTC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es-ES</dc:language>
</cp:coreProperties>
</file>